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81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Tramici Restaurant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 D'Oca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Torresella "Prosecco" - Rose'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Glera, Pinot Nero,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Pinot Grigio /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Fiera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Stella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Zaccagnini "Vino dal Tralcetto"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Abruzzi, Montepulciano d'Abruzzo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Terre di Bacco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Delle Venezie,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Kuranui "Single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South Island,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Galope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Cotes du Gascogne,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Slovenia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Raeburn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</w:tbl>
    <w:p>
      <w:pPr>
        <w:pStyle w:val="SectionHeader"/>
      </w:pPr>
      <w:r>
        <w:t xml:space="preserve">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S.A. Prüm "Essence"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</w:tbl>
    <w:p>
      <w:pPr>
        <w:pStyle w:val="SectionHeader"/>
      </w:pPr>
      <w:r>
        <w:t xml:space="preserve">Other White Wine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Feudi di San Gregorio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Alasia, Moscato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Moscato d'Asti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Rose'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"Discovery" Rosé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Lucky Star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Four Graces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Diora "La Petite Grace"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"Dairyman"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Smoking Loon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Barbe Blanche "Lussac-St. Émilion"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Santa Maria alla Pieve "Decima Aurea"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</w:tbl>
    <w:p>
      <w:pPr>
        <w:pStyle w:val="SectionHeader"/>
      </w:pPr>
      <w:r>
        <w:t xml:space="preserve">Montepulciano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Zaccagnini "Montepulciano d'Abruzzo"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Umani Ronchi "Jorio" Montepulciano d'Abruzzo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Abruzzi, Montepulciano d'Abruzzo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</w:tbl>
    <w:p>
      <w:pPr>
        <w:pStyle w:val="SectionHeader"/>
      </w:pPr>
      <w:r>
        <w:t xml:space="preserve">Sangiovese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"Chianti"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 Riserva"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Borro "Pian di Nova"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Borro "Polissena"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"Strada al Sasso" Chianti Classico Riserva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Willis "Homestead"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Columbia Valley, Washington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Clay Shannon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Spur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Zuccardi "Serie 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</w:tbl>
    <w:p>
      <w:pPr>
        <w:pStyle w:val="SectionHeader"/>
      </w:pPr>
      <w:r>
        <w:t xml:space="preserve">Other Italian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Feudi di San Gregorio "Rubrato"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Santa Maria  "Valpolicella"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Rondinella, Corvinone,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Cantine Povero "Contrada Maestra" Barbera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 Serra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Santa Maria alla Pieve "Amarone della Valpolicella"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Rondinella, Corvinone,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Alasia "Barolo"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